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F3AAB" w:rsidRDefault="00B84CC5">
      <w:pPr>
        <w:rPr>
          <w:b/>
          <w:bCs/>
          <w:sz w:val="36"/>
          <w:szCs w:val="36"/>
        </w:rPr>
      </w:pPr>
      <w:r>
        <w:rPr>
          <w:b/>
          <w:bCs/>
          <w:sz w:val="36"/>
          <w:szCs w:val="36"/>
        </w:rPr>
        <w:t>„Vládní úprava normativů problémy superdávky nevyřešila. Rodinám hrozí, že přijdou o bydlení,” sociální služby kritizují rozběh dávkové reformy</w:t>
      </w:r>
    </w:p>
    <w:p w14:paraId="00000002" w14:textId="77777777" w:rsidR="008F3AAB" w:rsidRDefault="008F3AAB">
      <w:pPr>
        <w:rPr>
          <w:b/>
          <w:bCs/>
        </w:rPr>
      </w:pPr>
    </w:p>
    <w:p w14:paraId="00000003" w14:textId="77777777" w:rsidR="008F3AAB" w:rsidRDefault="00B84CC5">
      <w:pPr>
        <w:rPr>
          <w:b/>
          <w:bCs/>
        </w:rPr>
      </w:pPr>
      <w:r>
        <w:rPr>
          <w:b/>
          <w:bCs/>
        </w:rPr>
        <w:t>5. 11. 2026, Praha</w:t>
      </w:r>
    </w:p>
    <w:p w14:paraId="00000004" w14:textId="77777777" w:rsidR="008F3AAB" w:rsidRDefault="008F3AAB">
      <w:pPr>
        <w:rPr>
          <w:b/>
          <w:bCs/>
        </w:rPr>
      </w:pPr>
    </w:p>
    <w:p w14:paraId="00000005" w14:textId="02DC8D6D" w:rsidR="008F3AAB" w:rsidRDefault="00B84CC5">
      <w:pPr>
        <w:rPr>
          <w:b/>
          <w:bCs/>
        </w:rPr>
      </w:pPr>
      <w:r>
        <w:rPr>
          <w:b/>
          <w:bCs/>
        </w:rPr>
        <w:t xml:space="preserve">Měsíce zpožděné výplaty dávek pro ohrožené domácnosti, kriticky nízko nastavené normativy v řadě okresů a stále chybějící podpora domácnostem v dluzích. Špatně nastavený systém dávek zatěžuje sociální pracovníky a chudí lidé jsou ohroženi ztrátou bydlení. Platforma pro sociální bydlení společně s centrem SPOT a sociálními službami </w:t>
      </w:r>
      <w:r w:rsidR="00B0599D">
        <w:rPr>
          <w:b/>
          <w:bCs/>
        </w:rPr>
        <w:t>RUBIKON Centrum</w:t>
      </w:r>
      <w:r>
        <w:rPr>
          <w:b/>
          <w:bCs/>
        </w:rPr>
        <w:t>, NADĚJE a Romodrom na společném tiskovém brífinku představil</w:t>
      </w:r>
      <w:r w:rsidR="00D93678">
        <w:rPr>
          <w:b/>
          <w:bCs/>
        </w:rPr>
        <w:t>a</w:t>
      </w:r>
      <w:r>
        <w:rPr>
          <w:b/>
          <w:bCs/>
        </w:rPr>
        <w:t xml:space="preserve"> nejzásadnější chyby dávkové reformy z pohledu sociálního sektoru. </w:t>
      </w:r>
    </w:p>
    <w:p w14:paraId="00000006" w14:textId="77777777" w:rsidR="008F3AAB" w:rsidRDefault="008F3AAB"/>
    <w:p w14:paraId="00000007" w14:textId="77777777" w:rsidR="008F3AAB" w:rsidRDefault="00B84CC5">
      <w:pPr>
        <w:spacing w:after="240"/>
        <w:rPr>
          <w:b/>
          <w:bCs/>
        </w:rPr>
      </w:pPr>
      <w:r>
        <w:rPr>
          <w:b/>
          <w:bCs/>
        </w:rPr>
        <w:t>Odtrženost od trhu a likvidační normativy ve městech s drahými nájmy</w:t>
      </w:r>
    </w:p>
    <w:p w14:paraId="00000008" w14:textId="0C428F57" w:rsidR="008F3AAB" w:rsidRDefault="00B84CC5">
      <w:pPr>
        <w:spacing w:after="240"/>
      </w:pPr>
      <w:r>
        <w:t>Zásadní metodickou chybou reformy je způsob, jakým stát počítá uznatelné náklady na bydlení. Místo reálných tržních cen totiž vychází z nájmů, které dosud platí stávající žadatelé o dávky. Tento výpočet zcela míjí realitu komerčního trhu, protože je zkreslen obecními a</w:t>
      </w:r>
      <w:r w:rsidR="0052775C">
        <w:t> </w:t>
      </w:r>
      <w:r>
        <w:t>nekomerčními nájmy, což nejhůře dopadá na malé domácnosti, obzvlášť pak jednotlivce. Normativní náklady přitom určují, jak vysoké náklady na bydlení stát domácnosti při výpočtu dávky uzná. Pokud jsou nastavené pod úrovní skutečných nájmů, domácnost musí rozdíl zaplatit ze zbytku svých příjmů – i když jí po zaplacení nájmu nezbývají peníze na základní životní potřeby.</w:t>
      </w:r>
    </w:p>
    <w:p w14:paraId="00000009" w14:textId="39EE0B92" w:rsidR="008F3AAB" w:rsidRDefault="00B84CC5">
      <w:pPr>
        <w:spacing w:after="240"/>
      </w:pPr>
      <w:r>
        <w:t>Jak upozorňuje Platforma pro sociální bydlení, naprosto zřetelný je tento odklon od reality v</w:t>
      </w:r>
      <w:r w:rsidR="0052775C">
        <w:t> </w:t>
      </w:r>
      <w:r>
        <w:t>krajských městech s velkým obecním bytovým fondem, jako je Brno. Vstupuje-li nízkopříjmová rodina nebo jednotlivec do nového komerčního nájmu, státní normativ jim nepokryje ani základní náklady. Domácnosti se tak i přes nárok na podporu propadají do hluboké chudoby.</w:t>
      </w:r>
    </w:p>
    <w:p w14:paraId="0000000A" w14:textId="77777777" w:rsidR="008F3AAB" w:rsidRDefault="00B84CC5">
      <w:pPr>
        <w:spacing w:after="240"/>
        <w:rPr>
          <w:b/>
          <w:bCs/>
        </w:rPr>
      </w:pPr>
      <w:r>
        <w:rPr>
          <w:b/>
          <w:bCs/>
        </w:rPr>
        <w:t>Výplaty zpožděné o měsíce. Situaci zachraňují neziskové organizace z vlastních fondů</w:t>
      </w:r>
    </w:p>
    <w:p w14:paraId="0000000B" w14:textId="6981DE48" w:rsidR="008F3AAB" w:rsidRDefault="00B84CC5">
      <w:pPr>
        <w:spacing w:after="240"/>
      </w:pPr>
      <w:r>
        <w:t>K chybnému designu dávky se v praxi přidal</w:t>
      </w:r>
      <w:r w:rsidR="00D93678">
        <w:t>a</w:t>
      </w:r>
      <w:r>
        <w:t xml:space="preserve"> výrazná zpoždění při zpracování žádostí na </w:t>
      </w:r>
      <w:r w:rsidR="00D93678">
        <w:t>ú</w:t>
      </w:r>
      <w:r>
        <w:t>řadech práce. Lidé v krizové situaci čekají na výplatu dávek i několik měsíců, což pro rodiny bez úspor znamená okamžité riziko ztráty bydlení.</w:t>
      </w:r>
    </w:p>
    <w:p w14:paraId="0000000C" w14:textId="0EF17A25" w:rsidR="008F3AAB" w:rsidRDefault="00B84CC5">
      <w:pPr>
        <w:spacing w:after="240"/>
      </w:pPr>
      <w:r>
        <w:rPr>
          <w:i/>
          <w:iCs/>
        </w:rPr>
        <w:t xml:space="preserve">„Kdybychom neměli vlastní garanční fond, ze kterého za lidi v krizi překlenovací období nájem hradíme a nastavujeme klientům splátkový kalendář, velká část našich klientů už </w:t>
      </w:r>
      <w:r w:rsidR="00D93678">
        <w:rPr>
          <w:i/>
          <w:iCs/>
        </w:rPr>
        <w:t xml:space="preserve">by </w:t>
      </w:r>
      <w:r>
        <w:rPr>
          <w:i/>
          <w:iCs/>
        </w:rPr>
        <w:t xml:space="preserve">skončila na ulici. Neziskový sektor ale nemůže dlouhodobě suplovat nefunkční státní </w:t>
      </w:r>
      <w:bookmarkStart w:id="0" w:name="_GoBack"/>
      <w:bookmarkEnd w:id="0"/>
      <w:r>
        <w:rPr>
          <w:i/>
          <w:iCs/>
        </w:rPr>
        <w:t>administrativu,</w:t>
      </w:r>
      <w:r w:rsidR="00D93678">
        <w:rPr>
          <w:i/>
          <w:iCs/>
        </w:rPr>
        <w:t>“</w:t>
      </w:r>
      <w:r>
        <w:t xml:space="preserve"> zdůrazňuje Lenka Duchačová z organizace Romodrom.</w:t>
      </w:r>
    </w:p>
    <w:p w14:paraId="0000000D" w14:textId="13581ED9" w:rsidR="008F3AAB" w:rsidRDefault="00D93678">
      <w:pPr>
        <w:spacing w:after="240"/>
      </w:pPr>
      <w:r w:rsidRPr="00D93678">
        <w:rPr>
          <w:i/>
          <w:iCs/>
        </w:rPr>
        <w:t>„</w:t>
      </w:r>
      <w:r w:rsidR="00B84CC5" w:rsidRPr="00D93678">
        <w:rPr>
          <w:i/>
          <w:iCs/>
        </w:rPr>
        <w:t xml:space="preserve">Administrativní zátěž naši pracovníci pociťují významně a pro klienty a klientky služby znamenají průtahy při vyřizování často ztrátu důvěry v sociální službu a v možnost získat systémovou pomoc. Je to pochopitelné, když na vyřízení podpory čekají měsíce, pořád něco </w:t>
      </w:r>
      <w:r w:rsidR="00B84CC5" w:rsidRPr="00D93678">
        <w:rPr>
          <w:i/>
          <w:iCs/>
        </w:rPr>
        <w:lastRenderedPageBreak/>
        <w:t>doplňují, a jejich situace se stále nezlepšuje</w:t>
      </w:r>
      <w:r w:rsidRPr="00D93678">
        <w:rPr>
          <w:i/>
          <w:iCs/>
        </w:rPr>
        <w:t>,“</w:t>
      </w:r>
      <w:r w:rsidR="00B84CC5">
        <w:t xml:space="preserve"> říká Kateřina Sehnoutková z pražské pobočky NADĚJE.</w:t>
      </w:r>
    </w:p>
    <w:p w14:paraId="0000000E" w14:textId="77777777" w:rsidR="008F3AAB" w:rsidRDefault="00B84CC5">
      <w:pPr>
        <w:spacing w:after="240"/>
        <w:rPr>
          <w:b/>
          <w:bCs/>
        </w:rPr>
      </w:pPr>
      <w:r>
        <w:rPr>
          <w:b/>
          <w:bCs/>
        </w:rPr>
        <w:t>Energetický paušál ignoruje klimatické rozdíly i chudé vlastníky</w:t>
      </w:r>
    </w:p>
    <w:p w14:paraId="0000000F" w14:textId="77777777" w:rsidR="008F3AAB" w:rsidRDefault="00B84CC5">
      <w:pPr>
        <w:spacing w:after="240"/>
      </w:pPr>
      <w:r>
        <w:t>Nově zavedený plošný energetický paušál v řadě okresů narazil na reálné limity. Systém vůbec nezohledňuje, že Česká republika nemá rovnoměrně rozloženou energetickou zátěž domácností, způsoby vytápění, ani klimatické podmínky. Energetická chudoba přitom v Česku trápí na 600 tisíc domácností a zdaleka se netýká jen nájemního bydlení.</w:t>
      </w:r>
    </w:p>
    <w:p w14:paraId="00000010" w14:textId="77777777" w:rsidR="008F3AAB" w:rsidRDefault="00B84CC5">
      <w:pPr>
        <w:spacing w:after="240"/>
      </w:pPr>
      <w:r>
        <w:t xml:space="preserve">Mikoláš Opletal z Platformy pro sociální bydlení upozorňuje, že mezi ohroženou skupinou je i značné množství nízkopříjmových vlastníků – například seniorů žijících ve starých, nezateplených domech v chladnějších regionech. Plošně stanovený paušál pro celou republiku nezachycuje rozdílné vytápěcí podmínky napříč republikou, navíc je stále nižší, </w:t>
      </w:r>
      <w:r>
        <w:br/>
        <w:t>než byl původní ministerský návrh.</w:t>
      </w:r>
    </w:p>
    <w:p w14:paraId="00000011" w14:textId="0382C16F" w:rsidR="008F3AAB" w:rsidRDefault="00B84CC5">
      <w:pPr>
        <w:spacing w:after="240"/>
        <w:rPr>
          <w:i/>
          <w:iCs/>
        </w:rPr>
      </w:pPr>
      <w:r>
        <w:t>Lucie Trlifajová z Centra SPOT poukazuje také na specifickou situaci lidí v exekucích a</w:t>
      </w:r>
      <w:r w:rsidR="0052775C">
        <w:t> </w:t>
      </w:r>
      <w:r>
        <w:t xml:space="preserve">insolvencích. </w:t>
      </w:r>
      <w:r w:rsidR="00D93678">
        <w:rPr>
          <w:i/>
          <w:iCs/>
        </w:rPr>
        <w:t>„</w:t>
      </w:r>
      <w:r>
        <w:rPr>
          <w:i/>
          <w:iCs/>
        </w:rPr>
        <w:t>Při posuzování příjmů dávky vůbec nesleduj</w:t>
      </w:r>
      <w:r w:rsidR="00D93678">
        <w:rPr>
          <w:i/>
          <w:iCs/>
        </w:rPr>
        <w:t>í</w:t>
      </w:r>
      <w:r>
        <w:rPr>
          <w:i/>
          <w:iCs/>
        </w:rPr>
        <w:t xml:space="preserve"> exekuční a insolvenční srážky, které jsou přitom u lidí</w:t>
      </w:r>
      <w:r w:rsidR="00D93678">
        <w:rPr>
          <w:i/>
          <w:iCs/>
        </w:rPr>
        <w:t>, kteří</w:t>
      </w:r>
      <w:r>
        <w:rPr>
          <w:i/>
          <w:iCs/>
        </w:rPr>
        <w:t xml:space="preserve"> potřebují dávkovou podporu</w:t>
      </w:r>
      <w:r w:rsidR="007A73E9">
        <w:rPr>
          <w:i/>
          <w:iCs/>
        </w:rPr>
        <w:t>,</w:t>
      </w:r>
      <w:r>
        <w:rPr>
          <w:i/>
          <w:iCs/>
        </w:rPr>
        <w:t xml:space="preserve"> velmi běžné. Výsledkem je, že podpora u legálně pracujících lidí pak nedosahuje ani na životní minimum, pro lidi v dluzích je aktivně nevýhodné pracovat a dluhy splácet.</w:t>
      </w:r>
      <w:r w:rsidR="00D93678">
        <w:rPr>
          <w:i/>
          <w:iCs/>
        </w:rPr>
        <w:t>“</w:t>
      </w:r>
    </w:p>
    <w:p w14:paraId="00000012" w14:textId="77777777" w:rsidR="008F3AAB" w:rsidRDefault="00B84CC5">
      <w:pPr>
        <w:spacing w:after="240"/>
        <w:rPr>
          <w:b/>
          <w:bCs/>
        </w:rPr>
      </w:pPr>
      <w:r>
        <w:rPr>
          <w:b/>
          <w:bCs/>
        </w:rPr>
        <w:t>Destrukce zabydlovacích programů a absurdity v azylových domech</w:t>
      </w:r>
    </w:p>
    <w:p w14:paraId="00000013" w14:textId="77777777" w:rsidR="008F3AAB" w:rsidRDefault="00B84CC5">
      <w:pPr>
        <w:spacing w:after="240"/>
      </w:pPr>
      <w:r>
        <w:t>Nová pravidla navíc přímo ohrožují fungování zabydlovacích programů (např. Housing First či projekty navazující na Zákon o podpoře bydlení). Lidé opouštějící dlouhodobou bytovou nouzi nebo instituce obvykle nejsou od prvního dne klasifikováni jako „zranitelní“. Jejich psychická i sociální stabilizace si přitom žádá čas. Protože ale nová dávka vyžaduje okamžitý pracovní výkon nebo zdlouhavé vyřizování invalidity, v prvních měsících těmto lidem neumožní uhradit ani základní náklady na byt a ti pak mohou skončit na ulici.</w:t>
      </w:r>
    </w:p>
    <w:p w14:paraId="00000014" w14:textId="441E3C6E" w:rsidR="008F3AAB" w:rsidRDefault="00D93678">
      <w:pPr>
        <w:spacing w:after="240"/>
      </w:pPr>
      <w:r>
        <w:rPr>
          <w:i/>
          <w:iCs/>
        </w:rPr>
        <w:t>„</w:t>
      </w:r>
      <w:r w:rsidR="00B84CC5">
        <w:rPr>
          <w:i/>
          <w:iCs/>
        </w:rPr>
        <w:t>Systém vyžaduje od lidí plnou soběstačnost v momentě, kdy si ti lidé teprve zařizují základní životní potřeby a zdravotní posudky. Bez dočasné ochranné lhůty celý proces zabydlování selhává a klienti spadnou zpět na dno. Dostat je z bytové nouze zpátky do bydlení je pak pro stát násobně dražší,</w:t>
      </w:r>
      <w:r>
        <w:t>“</w:t>
      </w:r>
      <w:r w:rsidR="00B84CC5">
        <w:t xml:space="preserve"> vysvětluje Gabriela Hendlová z</w:t>
      </w:r>
      <w:r>
        <w:t xml:space="preserve"> organizace </w:t>
      </w:r>
      <w:r w:rsidR="00B0599D">
        <w:t>RUBIKON Centrum</w:t>
      </w:r>
      <w:r w:rsidR="00B84CC5">
        <w:t>.</w:t>
      </w:r>
    </w:p>
    <w:p w14:paraId="00000015" w14:textId="77777777" w:rsidR="008F3AAB" w:rsidRDefault="00B84CC5">
      <w:pPr>
        <w:spacing w:after="240"/>
      </w:pPr>
      <w:r>
        <w:t>Pobytové sociální služby se pak potýkají s neočekávanou situací, kdy Úřad práce začal posuzovat jednotlivce, kteří spolu kvůli kapacitním důvodům pouze sdílejí pokoj v azylovém domě, jako jednu společně hospodařící domácnost, což významně snižuje jejich dávkovou podporu, přestože se často jedná o lidi, kteří se čerstvě dostali z ulice.</w:t>
      </w:r>
    </w:p>
    <w:p w14:paraId="587D50EA" w14:textId="25ECD7F0" w:rsidR="00412612" w:rsidRDefault="00B84CC5">
      <w:pPr>
        <w:spacing w:after="240"/>
      </w:pPr>
      <w:r w:rsidRPr="00EA6631">
        <w:rPr>
          <w:i/>
        </w:rPr>
        <w:t>„Posuzovat vzájemně cizí lidi na jednom pokoji azylového domu jako společnou domácnost je absurdní. Vede to k extrémně nízkým dávkám, ze kterých klienti nemohou uhradit poplatek za pobyt a musí ho doplácet ze skromného životního minima. Pak jim nezbyde třeba na jídlo nebo na potřebné léky. Pro už tak podfinancované sociální služby to znamená devastující rozpočtové propady,</w:t>
      </w:r>
      <w:r w:rsidR="00D93678" w:rsidRPr="00EA6631">
        <w:rPr>
          <w:i/>
        </w:rPr>
        <w:t>“</w:t>
      </w:r>
      <w:r>
        <w:t xml:space="preserve"> upozorňuje Opletal.</w:t>
      </w:r>
    </w:p>
    <w:p w14:paraId="00000017" w14:textId="5A960E41" w:rsidR="008F3AAB" w:rsidRDefault="00412612">
      <w:pPr>
        <w:spacing w:after="240"/>
      </w:pPr>
      <w:r w:rsidRPr="00EA6631">
        <w:rPr>
          <w:i/>
        </w:rPr>
        <w:t>„</w:t>
      </w:r>
      <w:r w:rsidR="00B84CC5" w:rsidRPr="00EA6631">
        <w:rPr>
          <w:i/>
        </w:rPr>
        <w:t>Pokud vláda nepřistoupí k rychlé korekci normativů, nezavede ochranné lhůty pro čerstvě zabydlené osoby v sociálních službách, neopraví posuzování sdíleného bydlení a nezaměří se na spravedlivější posuzování lidí v insolvenci, reforma bude dále dělat přesný opak deklarovaných cílů – prohloubení chudoby a masivní nárůst bezdomovectví,</w:t>
      </w:r>
      <w:r w:rsidR="00D93678" w:rsidRPr="00EA6631">
        <w:rPr>
          <w:i/>
        </w:rPr>
        <w:t>“</w:t>
      </w:r>
      <w:r w:rsidR="00B84CC5">
        <w:t xml:space="preserve"> varuje závěrem analytička Lucie Trlifajová.</w:t>
      </w:r>
    </w:p>
    <w:p w14:paraId="0000003E" w14:textId="13E8FE70" w:rsidR="008F3AAB" w:rsidRDefault="00D93678" w:rsidP="00D93678">
      <w:pPr>
        <w:spacing w:after="240"/>
      </w:pPr>
      <w:r w:rsidRPr="00D93678">
        <w:rPr>
          <w:i/>
        </w:rPr>
        <w:t>„</w:t>
      </w:r>
      <w:r w:rsidR="00B84CC5" w:rsidRPr="00D93678">
        <w:rPr>
          <w:i/>
        </w:rPr>
        <w:t>Z našeho pohledu je nepředstavitelné, že by stát dávkovou politiku nechal v tomto stavu. Vzhledem k tomu, že se ministerstvo dle svých prohlášení k žádné zásadní změně nechystá, je pro nás zásadní apelovat na státní orgány a změnu řešit dřív, než ji české domácnosti pocítí naplno. Nov</w:t>
      </w:r>
      <w:r w:rsidRPr="00D93678">
        <w:rPr>
          <w:i/>
        </w:rPr>
        <w:t>á</w:t>
      </w:r>
      <w:r w:rsidR="00B84CC5" w:rsidRPr="00D93678">
        <w:rPr>
          <w:i/>
        </w:rPr>
        <w:t xml:space="preserve"> rozhodnutí o výměru dávek začínají v těchto dnech přicházet a už teď máme zprávy, že se situace řady domácností ještě dále zhoršila. Je nutné jednat,</w:t>
      </w:r>
      <w:r w:rsidRPr="00D93678">
        <w:rPr>
          <w:i/>
        </w:rPr>
        <w:t>“</w:t>
      </w:r>
      <w:r w:rsidR="00B84CC5">
        <w:t xml:space="preserve"> uzavírá Opleta</w:t>
      </w:r>
      <w:r>
        <w:t>l.</w:t>
      </w:r>
    </w:p>
    <w:p w14:paraId="6C75BCC4" w14:textId="7BD7A03D" w:rsidR="0052775C" w:rsidRDefault="0052775C" w:rsidP="00D93678">
      <w:pPr>
        <w:spacing w:after="240"/>
      </w:pPr>
    </w:p>
    <w:p w14:paraId="075807A4" w14:textId="77777777" w:rsidR="0052775C" w:rsidRDefault="0052775C" w:rsidP="0052775C">
      <w:r>
        <w:t>Kontaktní osoba za Platformu pro sociální bydlení:</w:t>
      </w:r>
    </w:p>
    <w:p w14:paraId="0CCDB234" w14:textId="49CDD5A6" w:rsidR="007A73E9" w:rsidRDefault="0052775C" w:rsidP="00D93678">
      <w:pPr>
        <w:spacing w:after="240"/>
      </w:pPr>
      <w:r>
        <w:t>Mikoláš Opletal, Advocacy Officer</w:t>
      </w:r>
      <w:r>
        <w:br/>
      </w:r>
      <w:hyperlink r:id="rId6" w:history="1">
        <w:r w:rsidRPr="00BD692E">
          <w:rPr>
            <w:rStyle w:val="Hypertextovodkaz"/>
          </w:rPr>
          <w:t>mikolas.opletal@socialnibydleni.org</w:t>
        </w:r>
      </w:hyperlink>
      <w:r>
        <w:br/>
      </w:r>
      <w:r w:rsidR="00570B6A">
        <w:t>+420 774 645</w:t>
      </w:r>
      <w:r w:rsidR="007A73E9">
        <w:t> </w:t>
      </w:r>
      <w:r w:rsidR="00570B6A">
        <w:t>467</w:t>
      </w:r>
    </w:p>
    <w:p w14:paraId="5FF29C16" w14:textId="2E535DAA" w:rsidR="007A73E9" w:rsidRDefault="007A73E9" w:rsidP="00D93678">
      <w:pPr>
        <w:spacing w:after="240"/>
      </w:pPr>
      <w:r>
        <w:t>Kontakty na další mluvčí:</w:t>
      </w:r>
    </w:p>
    <w:p w14:paraId="32E284ED" w14:textId="77777777" w:rsidR="007A73E9" w:rsidRPr="007A73E9" w:rsidRDefault="007A73E9" w:rsidP="007A73E9">
      <w:pPr>
        <w:shd w:val="clear" w:color="auto" w:fill="FFFFFF"/>
        <w:spacing w:line="240" w:lineRule="auto"/>
        <w:rPr>
          <w:rFonts w:eastAsia="Times New Roman"/>
          <w:color w:val="222222"/>
          <w:lang w:val="cs-CZ"/>
        </w:rPr>
      </w:pPr>
      <w:r w:rsidRPr="007A73E9">
        <w:rPr>
          <w:rFonts w:eastAsia="Times New Roman"/>
          <w:b/>
          <w:bCs/>
          <w:color w:val="222222"/>
          <w:lang w:val="cs-CZ"/>
        </w:rPr>
        <w:t>Gabriela Hendlová (RUBIKON Centrum)</w:t>
      </w:r>
      <w:r w:rsidRPr="007A73E9">
        <w:rPr>
          <w:rFonts w:eastAsia="Times New Roman"/>
          <w:color w:val="222222"/>
          <w:lang w:val="cs-CZ"/>
        </w:rPr>
        <w:t xml:space="preserve"> – hendlova@rubikoncentrum.cz, 770 135 422</w:t>
      </w:r>
    </w:p>
    <w:p w14:paraId="37124666" w14:textId="77777777" w:rsidR="007A73E9" w:rsidRPr="007A73E9" w:rsidRDefault="007A73E9" w:rsidP="007A73E9">
      <w:pPr>
        <w:shd w:val="clear" w:color="auto" w:fill="FFFFFF"/>
        <w:spacing w:line="240" w:lineRule="auto"/>
        <w:rPr>
          <w:rFonts w:eastAsia="Times New Roman"/>
          <w:color w:val="222222"/>
          <w:lang w:val="cs-CZ"/>
        </w:rPr>
      </w:pPr>
      <w:r w:rsidRPr="007A73E9">
        <w:rPr>
          <w:rFonts w:eastAsia="Times New Roman"/>
          <w:b/>
          <w:bCs/>
          <w:color w:val="222222"/>
          <w:lang w:val="cs-CZ"/>
        </w:rPr>
        <w:t>Lenka Ducháčová (Romodrom)</w:t>
      </w:r>
      <w:r w:rsidRPr="007A73E9">
        <w:rPr>
          <w:rFonts w:eastAsia="Times New Roman"/>
          <w:color w:val="222222"/>
          <w:lang w:val="cs-CZ"/>
        </w:rPr>
        <w:t xml:space="preserve"> – lenka.duchacova@romodrom.cz, 777 510 273</w:t>
      </w:r>
    </w:p>
    <w:p w14:paraId="532389C6" w14:textId="77777777" w:rsidR="007A73E9" w:rsidRPr="007A73E9" w:rsidRDefault="007A73E9" w:rsidP="007A73E9">
      <w:pPr>
        <w:shd w:val="clear" w:color="auto" w:fill="FFFFFF"/>
        <w:spacing w:line="240" w:lineRule="auto"/>
        <w:rPr>
          <w:rFonts w:eastAsia="Times New Roman"/>
          <w:color w:val="222222"/>
          <w:lang w:val="cs-CZ"/>
        </w:rPr>
      </w:pPr>
      <w:r w:rsidRPr="007A73E9">
        <w:rPr>
          <w:rFonts w:eastAsia="Times New Roman"/>
          <w:b/>
          <w:bCs/>
          <w:color w:val="222222"/>
          <w:lang w:val="cs-CZ"/>
        </w:rPr>
        <w:t>Kateřina Sehnoutková (NADĚJE)</w:t>
      </w:r>
      <w:r w:rsidRPr="007A73E9">
        <w:rPr>
          <w:rFonts w:eastAsia="Times New Roman"/>
          <w:color w:val="222222"/>
          <w:lang w:val="cs-CZ"/>
        </w:rPr>
        <w:t xml:space="preserve"> – katerina.sehnoutkova@nadeje.cz, 773 791 724</w:t>
      </w:r>
    </w:p>
    <w:p w14:paraId="15695F27" w14:textId="366470E6" w:rsidR="007A73E9" w:rsidRPr="007A73E9" w:rsidRDefault="007A73E9" w:rsidP="007A73E9">
      <w:pPr>
        <w:shd w:val="clear" w:color="auto" w:fill="FFFFFF"/>
        <w:spacing w:line="240" w:lineRule="auto"/>
        <w:rPr>
          <w:rFonts w:eastAsia="Times New Roman"/>
          <w:color w:val="222222"/>
          <w:lang w:val="cs-CZ"/>
        </w:rPr>
      </w:pPr>
      <w:r w:rsidRPr="007A73E9">
        <w:rPr>
          <w:rFonts w:eastAsia="Times New Roman"/>
          <w:b/>
          <w:bCs/>
          <w:color w:val="222222"/>
          <w:lang w:val="cs-CZ"/>
        </w:rPr>
        <w:t>Lucie Trlifajová (Centrum pro společenské otázky SPOT a Fakulta sociálních věd UK)</w:t>
      </w:r>
      <w:r w:rsidRPr="007A73E9">
        <w:rPr>
          <w:rFonts w:eastAsia="Times New Roman"/>
          <w:color w:val="222222"/>
          <w:lang w:val="cs-CZ"/>
        </w:rPr>
        <w:t xml:space="preserve"> – lucie.trlifajova@fsv.cuni.cz, 608 064 999</w:t>
      </w:r>
    </w:p>
    <w:p w14:paraId="4F3D1BB2" w14:textId="77777777" w:rsidR="007A73E9" w:rsidRDefault="007A73E9" w:rsidP="00D93678">
      <w:pPr>
        <w:spacing w:after="240"/>
      </w:pPr>
    </w:p>
    <w:sectPr w:rsidR="007A73E9" w:rsidSect="0052775C">
      <w:headerReference w:type="first" r:id="rId7"/>
      <w:pgSz w:w="11909" w:h="16834"/>
      <w:pgMar w:top="1440" w:right="1440" w:bottom="1440" w:left="1440" w:header="720"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DDFB4A" w14:textId="77777777" w:rsidR="001B5B4D" w:rsidRDefault="001B5B4D" w:rsidP="0052775C">
      <w:pPr>
        <w:spacing w:line="240" w:lineRule="auto"/>
      </w:pPr>
      <w:r>
        <w:separator/>
      </w:r>
    </w:p>
  </w:endnote>
  <w:endnote w:type="continuationSeparator" w:id="0">
    <w:p w14:paraId="04753277" w14:textId="77777777" w:rsidR="001B5B4D" w:rsidRDefault="001B5B4D" w:rsidP="005277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342C908E-673B-4223-B698-C20D29985D9D}"/>
  </w:font>
  <w:font w:name="Cambria">
    <w:panose1 w:val="02040503050406030204"/>
    <w:charset w:val="EE"/>
    <w:family w:val="roman"/>
    <w:pitch w:val="variable"/>
    <w:sig w:usb0="E00006FF" w:usb1="420024FF" w:usb2="02000000" w:usb3="00000000" w:csb0="0000019F" w:csb1="00000000"/>
    <w:embedRegular r:id="rId2" w:fontKey="{B894AA57-7EA8-4D66-BFFE-C3D202F5DA1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054E5" w14:textId="77777777" w:rsidR="001B5B4D" w:rsidRDefault="001B5B4D" w:rsidP="0052775C">
      <w:pPr>
        <w:spacing w:line="240" w:lineRule="auto"/>
      </w:pPr>
      <w:r>
        <w:separator/>
      </w:r>
    </w:p>
  </w:footnote>
  <w:footnote w:type="continuationSeparator" w:id="0">
    <w:p w14:paraId="08BAB49B" w14:textId="77777777" w:rsidR="001B5B4D" w:rsidRDefault="001B5B4D" w:rsidP="005277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325A3" w14:textId="4481FF27" w:rsidR="0052775C" w:rsidRDefault="0052775C">
    <w:pPr>
      <w:pStyle w:val="Zhlav"/>
    </w:pPr>
    <w:r>
      <w:rPr>
        <w:noProof/>
      </w:rPr>
      <w:drawing>
        <wp:inline distT="0" distB="0" distL="0" distR="0" wp14:anchorId="2FB4A06B" wp14:editId="3F7AE68A">
          <wp:extent cx="2788874" cy="7239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1636" cy="727213"/>
                  </a:xfrm>
                  <a:prstGeom prst="rect">
                    <a:avLst/>
                  </a:prstGeom>
                  <a:noFill/>
                  <a:ln>
                    <a:noFill/>
                  </a:ln>
                </pic:spPr>
              </pic:pic>
            </a:graphicData>
          </a:graphic>
        </wp:inline>
      </w:drawing>
    </w:r>
    <w:r>
      <w:tab/>
    </w:r>
    <w:r>
      <w:tab/>
    </w:r>
    <w:r>
      <w:rPr>
        <w:noProof/>
      </w:rPr>
      <w:drawing>
        <wp:inline distT="0" distB="0" distL="0" distR="0" wp14:anchorId="3D8A52B3" wp14:editId="7E936DF3">
          <wp:extent cx="2238375" cy="753586"/>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74873" cy="765874"/>
                  </a:xfrm>
                  <a:prstGeom prst="rect">
                    <a:avLst/>
                  </a:prstGeom>
                  <a:noFill/>
                  <a:ln>
                    <a:noFill/>
                  </a:ln>
                </pic:spPr>
              </pic:pic>
            </a:graphicData>
          </a:graphic>
        </wp:inline>
      </w:drawing>
    </w:r>
  </w:p>
  <w:p w14:paraId="199EACEB" w14:textId="77777777" w:rsidR="0052775C" w:rsidRDefault="0052775C">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AAB"/>
    <w:rsid w:val="001B5B4D"/>
    <w:rsid w:val="00412612"/>
    <w:rsid w:val="0052775C"/>
    <w:rsid w:val="00570B6A"/>
    <w:rsid w:val="00687FA9"/>
    <w:rsid w:val="007A73E9"/>
    <w:rsid w:val="008F3AAB"/>
    <w:rsid w:val="00B0599D"/>
    <w:rsid w:val="00B84CC5"/>
    <w:rsid w:val="00CE5A0B"/>
    <w:rsid w:val="00D93678"/>
    <w:rsid w:val="00EA66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B020B"/>
  <w15:docId w15:val="{A4C0FD66-CDC8-43E6-AA2F-AD1E0F391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paragraph" w:styleId="Zhlav">
    <w:name w:val="header"/>
    <w:basedOn w:val="Normln"/>
    <w:link w:val="ZhlavChar"/>
    <w:uiPriority w:val="99"/>
    <w:unhideWhenUsed/>
    <w:rsid w:val="0052775C"/>
    <w:pPr>
      <w:tabs>
        <w:tab w:val="center" w:pos="4536"/>
        <w:tab w:val="right" w:pos="9072"/>
      </w:tabs>
      <w:spacing w:line="240" w:lineRule="auto"/>
    </w:pPr>
  </w:style>
  <w:style w:type="character" w:customStyle="1" w:styleId="ZhlavChar">
    <w:name w:val="Záhlaví Char"/>
    <w:basedOn w:val="Standardnpsmoodstavce"/>
    <w:link w:val="Zhlav"/>
    <w:uiPriority w:val="99"/>
    <w:rsid w:val="0052775C"/>
  </w:style>
  <w:style w:type="paragraph" w:styleId="Zpat">
    <w:name w:val="footer"/>
    <w:basedOn w:val="Normln"/>
    <w:link w:val="ZpatChar"/>
    <w:uiPriority w:val="99"/>
    <w:unhideWhenUsed/>
    <w:rsid w:val="0052775C"/>
    <w:pPr>
      <w:tabs>
        <w:tab w:val="center" w:pos="4536"/>
        <w:tab w:val="right" w:pos="9072"/>
      </w:tabs>
      <w:spacing w:line="240" w:lineRule="auto"/>
    </w:pPr>
  </w:style>
  <w:style w:type="character" w:customStyle="1" w:styleId="ZpatChar">
    <w:name w:val="Zápatí Char"/>
    <w:basedOn w:val="Standardnpsmoodstavce"/>
    <w:link w:val="Zpat"/>
    <w:uiPriority w:val="99"/>
    <w:rsid w:val="0052775C"/>
  </w:style>
  <w:style w:type="character" w:styleId="Hypertextovodkaz">
    <w:name w:val="Hyperlink"/>
    <w:basedOn w:val="Standardnpsmoodstavce"/>
    <w:uiPriority w:val="99"/>
    <w:unhideWhenUsed/>
    <w:rsid w:val="0052775C"/>
    <w:rPr>
      <w:color w:val="0000FF" w:themeColor="hyperlink"/>
      <w:u w:val="single"/>
    </w:rPr>
  </w:style>
  <w:style w:type="character" w:styleId="Nevyeenzmnka">
    <w:name w:val="Unresolved Mention"/>
    <w:basedOn w:val="Standardnpsmoodstavce"/>
    <w:uiPriority w:val="99"/>
    <w:semiHidden/>
    <w:unhideWhenUsed/>
    <w:rsid w:val="005277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176991">
      <w:bodyDiv w:val="1"/>
      <w:marLeft w:val="0"/>
      <w:marRight w:val="0"/>
      <w:marTop w:val="0"/>
      <w:marBottom w:val="0"/>
      <w:divBdr>
        <w:top w:val="none" w:sz="0" w:space="0" w:color="auto"/>
        <w:left w:val="none" w:sz="0" w:space="0" w:color="auto"/>
        <w:bottom w:val="none" w:sz="0" w:space="0" w:color="auto"/>
        <w:right w:val="none" w:sz="0" w:space="0" w:color="auto"/>
      </w:divBdr>
      <w:divsChild>
        <w:div w:id="926765011">
          <w:marLeft w:val="0"/>
          <w:marRight w:val="0"/>
          <w:marTop w:val="0"/>
          <w:marBottom w:val="0"/>
          <w:divBdr>
            <w:top w:val="none" w:sz="0" w:space="0" w:color="auto"/>
            <w:left w:val="none" w:sz="0" w:space="0" w:color="auto"/>
            <w:bottom w:val="none" w:sz="0" w:space="0" w:color="auto"/>
            <w:right w:val="none" w:sz="0" w:space="0" w:color="auto"/>
          </w:divBdr>
        </w:div>
        <w:div w:id="1818760664">
          <w:marLeft w:val="0"/>
          <w:marRight w:val="0"/>
          <w:marTop w:val="0"/>
          <w:marBottom w:val="0"/>
          <w:divBdr>
            <w:top w:val="none" w:sz="0" w:space="0" w:color="auto"/>
            <w:left w:val="none" w:sz="0" w:space="0" w:color="auto"/>
            <w:bottom w:val="none" w:sz="0" w:space="0" w:color="auto"/>
            <w:right w:val="none" w:sz="0" w:space="0" w:color="auto"/>
          </w:divBdr>
        </w:div>
        <w:div w:id="86732765">
          <w:marLeft w:val="0"/>
          <w:marRight w:val="0"/>
          <w:marTop w:val="0"/>
          <w:marBottom w:val="0"/>
          <w:divBdr>
            <w:top w:val="none" w:sz="0" w:space="0" w:color="auto"/>
            <w:left w:val="none" w:sz="0" w:space="0" w:color="auto"/>
            <w:bottom w:val="none" w:sz="0" w:space="0" w:color="auto"/>
            <w:right w:val="none" w:sz="0" w:space="0" w:color="auto"/>
          </w:divBdr>
        </w:div>
        <w:div w:id="2615674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kolas.opletal@socialnibydleni.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1016</Words>
  <Characters>5999</Characters>
  <Application>Microsoft Office Word</Application>
  <DocSecurity>0</DocSecurity>
  <Lines>49</Lines>
  <Paragraphs>14</Paragraphs>
  <ScaleCrop>false</ScaleCrop>
  <HeadingPairs>
    <vt:vector size="2" baseType="variant">
      <vt:variant>
        <vt:lpstr>Název</vt:lpstr>
      </vt:variant>
      <vt:variant>
        <vt:i4>1</vt:i4>
      </vt:variant>
    </vt:vector>
  </HeadingPairs>
  <TitlesOfParts>
    <vt:vector size="1" baseType="lpstr">
      <vt:lpstr/>
    </vt:vector>
  </TitlesOfParts>
  <Company>Platforma pro sociální bydlení</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 Schovánek</dc:creator>
  <cp:lastModifiedBy>Petr Schovánek</cp:lastModifiedBy>
  <cp:revision>4</cp:revision>
  <dcterms:created xsi:type="dcterms:W3CDTF">2026-11-05T08:47:00Z</dcterms:created>
  <dcterms:modified xsi:type="dcterms:W3CDTF">2026-11-05T10:48:00Z</dcterms:modified>
</cp:coreProperties>
</file>