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0997927" w:rsidR="00081429" w:rsidRPr="00192599" w:rsidRDefault="00065F80">
      <w:pPr>
        <w:pStyle w:val="Nadpis2"/>
        <w:spacing w:before="240" w:after="240" w:line="360" w:lineRule="auto"/>
        <w:rPr>
          <w:rFonts w:ascii="Favorit" w:hAnsi="Favorit"/>
        </w:rPr>
      </w:pPr>
      <w:r>
        <w:rPr>
          <w:rFonts w:ascii="Favorit" w:hAnsi="Favorit"/>
        </w:rPr>
        <w:t>Život v</w:t>
      </w:r>
      <w:r>
        <w:rPr>
          <w:rFonts w:ascii="Calibri" w:hAnsi="Calibri" w:cs="Calibri"/>
        </w:rPr>
        <w:t> </w:t>
      </w:r>
      <w:r>
        <w:rPr>
          <w:rFonts w:ascii="Favorit" w:hAnsi="Favorit"/>
        </w:rPr>
        <w:t>nájmu je nejrizikovějším faktorem chudoby, v</w:t>
      </w:r>
      <w:r>
        <w:rPr>
          <w:rFonts w:ascii="Calibri" w:hAnsi="Calibri" w:cs="Calibri"/>
        </w:rPr>
        <w:t> </w:t>
      </w:r>
      <w:r>
        <w:rPr>
          <w:rFonts w:ascii="Favorit" w:hAnsi="Favorit"/>
        </w:rPr>
        <w:t>programech je to opomíjeno. Platforma pro sociální bydlení vydala zprávu k</w:t>
      </w:r>
      <w:r>
        <w:rPr>
          <w:rFonts w:ascii="Calibri" w:hAnsi="Calibri" w:cs="Calibri"/>
        </w:rPr>
        <w:t> </w:t>
      </w:r>
      <w:r>
        <w:rPr>
          <w:rFonts w:ascii="Favorit" w:hAnsi="Favorit"/>
        </w:rPr>
        <w:t>předvolebním debatám o bydlení</w:t>
      </w:r>
    </w:p>
    <w:p w14:paraId="00000002" w14:textId="77777777" w:rsidR="00081429" w:rsidRPr="00192599" w:rsidRDefault="0094330F">
      <w:pPr>
        <w:spacing w:before="240" w:after="240" w:line="360" w:lineRule="auto"/>
        <w:rPr>
          <w:rFonts w:ascii="Favorit" w:hAnsi="Favorit"/>
        </w:rPr>
      </w:pPr>
      <w:r w:rsidRPr="00192599">
        <w:rPr>
          <w:rFonts w:ascii="Favorit" w:hAnsi="Favorit"/>
        </w:rPr>
        <w:t>Praha, 23. 9. 2025</w:t>
      </w:r>
    </w:p>
    <w:p w14:paraId="00000003" w14:textId="0B7BE66C" w:rsidR="00081429" w:rsidRDefault="0094330F">
      <w:pPr>
        <w:spacing w:before="240" w:after="240" w:line="360" w:lineRule="auto"/>
        <w:rPr>
          <w:rFonts w:ascii="Favorit" w:hAnsi="Favorit"/>
        </w:rPr>
      </w:pPr>
      <w:r w:rsidRPr="00192599">
        <w:rPr>
          <w:rFonts w:ascii="Favorit" w:hAnsi="Favorit"/>
        </w:rPr>
        <w:t>Bydlení je jedním z hlavních témat letošních volebních kampaní. Platforma pro sociální bydlení proto analyzovala předvolební programy politických stran a hnutí, které mají podle průzkumů šanci vstoupit do Poslanecké sněmovny. Ukázalo se, že ačkoliv se politici hlásí k řešení bytové krize, v jejich plánech často chybí klíčová opatření, která by mohla situaci skutečně změnit.</w:t>
      </w:r>
    </w:p>
    <w:p w14:paraId="2B438504" w14:textId="68399160" w:rsidR="00FC0480" w:rsidRDefault="00FC0480">
      <w:pPr>
        <w:spacing w:before="240" w:after="240" w:line="360" w:lineRule="auto"/>
        <w:rPr>
          <w:rFonts w:ascii="Favorit" w:hAnsi="Favorit"/>
        </w:rPr>
      </w:pPr>
      <w:r>
        <w:rPr>
          <w:rFonts w:ascii="Favorit" w:hAnsi="Favorit"/>
        </w:rPr>
        <w:t>Analýza se zaměřuje na pět klíčových oblastí: Zákon o podpoře bydlení, revize dávkového systému, státní podpora hypoték, úprava nájemních vztahů a výstavba dostupného nájemního bydlení.</w:t>
      </w:r>
    </w:p>
    <w:p w14:paraId="196BE6AA" w14:textId="5B7CB9BC" w:rsidR="00FC0480" w:rsidRDefault="00FC0480">
      <w:pPr>
        <w:spacing w:before="240" w:after="240" w:line="360" w:lineRule="auto"/>
        <w:rPr>
          <w:rFonts w:ascii="Favorit" w:hAnsi="Favorit"/>
        </w:rPr>
      </w:pPr>
      <w:r w:rsidRPr="00192599">
        <w:rPr>
          <w:rFonts w:ascii="Favorit" w:hAnsi="Favorit"/>
          <w:i/>
        </w:rPr>
        <w:t>„Jsme rádi, že téma dostupnosti bydlení konečně proniklo do centra politické debaty. Problémem ale je, že řada návrhů neodpovídá realitě trhu a potřebám domácností. Politické programy často opomíjejí ty, kdo čelí bytové nouzi, i domácnosti, kterým rostoucí náklady na bydlení zásadně ohrožují rozpočet,“</w:t>
      </w:r>
      <w:r w:rsidRPr="00192599">
        <w:rPr>
          <w:rFonts w:ascii="Favorit" w:hAnsi="Favorit"/>
        </w:rPr>
        <w:t xml:space="preserve"> říká Mikoláš Opletal, Advocacy Officer Platformy pro sociální bydlení.</w:t>
      </w:r>
    </w:p>
    <w:p w14:paraId="386D93A6" w14:textId="77777777" w:rsidR="00082C2E" w:rsidRDefault="00065F80">
      <w:pPr>
        <w:spacing w:before="240" w:after="240" w:line="360" w:lineRule="auto"/>
        <w:rPr>
          <w:rFonts w:ascii="Favorit" w:hAnsi="Favorit"/>
        </w:rPr>
      </w:pPr>
      <w:r>
        <w:rPr>
          <w:rFonts w:ascii="Favorit" w:hAnsi="Favorit"/>
        </w:rPr>
        <w:t>Publikace kritizuje plány na další finanční podporu hypoték, které už nyní stojí státní kasu 10-13 miliard korun ročně</w:t>
      </w:r>
      <w:r w:rsidRPr="00FC0480">
        <w:rPr>
          <w:rFonts w:ascii="Favorit" w:hAnsi="Favorit"/>
          <w:i/>
        </w:rPr>
        <w:t>. „Vnímáme, že taková opatření mohou dostupnost bydlení ještě zhoršit, paradoxně obzvlášť pro mladé rodiny,“</w:t>
      </w:r>
      <w:r>
        <w:rPr>
          <w:rFonts w:ascii="Favorit" w:hAnsi="Favorit"/>
        </w:rPr>
        <w:t xml:space="preserve"> komentuje Jan Klusáček, analytik Platformy pro sociální bydlení.</w:t>
      </w:r>
    </w:p>
    <w:p w14:paraId="1C11032A" w14:textId="63F7C6FD" w:rsidR="00082C2E" w:rsidRDefault="00082C2E">
      <w:pPr>
        <w:spacing w:before="240" w:after="240" w:line="360" w:lineRule="auto"/>
        <w:rPr>
          <w:rFonts w:ascii="Favorit" w:hAnsi="Favorit"/>
          <w:i/>
        </w:rPr>
      </w:pPr>
      <w:r w:rsidRPr="00192599">
        <w:rPr>
          <w:rFonts w:ascii="Favorit" w:hAnsi="Favorit"/>
          <w:i/>
        </w:rPr>
        <w:t>„Stát</w:t>
      </w:r>
      <w:r>
        <w:rPr>
          <w:rFonts w:ascii="Favorit" w:hAnsi="Favorit"/>
          <w:i/>
        </w:rPr>
        <w:t xml:space="preserve"> již</w:t>
      </w:r>
      <w:r w:rsidRPr="00192599">
        <w:rPr>
          <w:rFonts w:ascii="Favorit" w:hAnsi="Favorit"/>
          <w:i/>
        </w:rPr>
        <w:t xml:space="preserve"> dnes vydává miliardy na podporu vlastnického bydlení</w:t>
      </w:r>
      <w:r>
        <w:rPr>
          <w:rFonts w:ascii="Favorit" w:hAnsi="Favorit"/>
          <w:i/>
        </w:rPr>
        <w:t xml:space="preserve">. </w:t>
      </w:r>
      <w:r w:rsidRPr="00192599">
        <w:rPr>
          <w:rFonts w:ascii="Favorit" w:hAnsi="Favorit"/>
          <w:i/>
        </w:rPr>
        <w:t xml:space="preserve"> </w:t>
      </w:r>
      <w:r>
        <w:rPr>
          <w:rFonts w:ascii="Favorit" w:hAnsi="Favorit"/>
          <w:i/>
        </w:rPr>
        <w:t xml:space="preserve">A tyto peníze dnes končí především u zajištěných a vysokopříjmových domácností, protože nikdo jiný si vlastní bydlení ve městech stejně dovolit nemůže. Existují způsoby, jak podporu lépe cílit a ušetřené peníze přesměrovat do výstavby dostupného nájemního bydlení, kam zatím investuje velmi opatrně,“ </w:t>
      </w:r>
      <w:r w:rsidRPr="00082C2E">
        <w:rPr>
          <w:rFonts w:ascii="Favorit" w:hAnsi="Favorit"/>
        </w:rPr>
        <w:t>doplňuje Klusáček.</w:t>
      </w:r>
    </w:p>
    <w:p w14:paraId="00000004" w14:textId="34D074AD" w:rsidR="00081429" w:rsidRDefault="00065F80">
      <w:pPr>
        <w:spacing w:before="240" w:after="240" w:line="360" w:lineRule="auto"/>
        <w:rPr>
          <w:rFonts w:ascii="Favorit" w:hAnsi="Favorit"/>
        </w:rPr>
      </w:pPr>
      <w:r>
        <w:rPr>
          <w:rFonts w:ascii="Favorit" w:hAnsi="Favorit"/>
        </w:rPr>
        <w:lastRenderedPageBreak/>
        <w:t xml:space="preserve">Co analýza naopak uvádí jako nedostatečně zastoupené téma je stabilizace nájemních vztahů. </w:t>
      </w:r>
      <w:r w:rsidRPr="00FC0480">
        <w:rPr>
          <w:rFonts w:ascii="Favorit" w:hAnsi="Favorit"/>
          <w:i/>
        </w:rPr>
        <w:t>„V tuto chvíli je</w:t>
      </w:r>
      <w:r w:rsidR="00FC0480" w:rsidRPr="00FC0480">
        <w:rPr>
          <w:rFonts w:ascii="Favorit" w:hAnsi="Favorit"/>
          <w:i/>
        </w:rPr>
        <w:t xml:space="preserve"> život v</w:t>
      </w:r>
      <w:r w:rsidR="00FC0480" w:rsidRPr="00FC0480">
        <w:rPr>
          <w:rFonts w:ascii="Calibri" w:hAnsi="Calibri" w:cs="Calibri"/>
          <w:i/>
        </w:rPr>
        <w:t> </w:t>
      </w:r>
      <w:r w:rsidR="00FC0480" w:rsidRPr="00FC0480">
        <w:rPr>
          <w:rFonts w:ascii="Favorit" w:hAnsi="Favorit"/>
          <w:i/>
        </w:rPr>
        <w:t>nájmu častější formou bydlení pro mladé lidi než bydlení vlastnické. A platí to i o rodinách s</w:t>
      </w:r>
      <w:r w:rsidR="00FC0480" w:rsidRPr="00FC0480">
        <w:rPr>
          <w:rFonts w:ascii="Calibri" w:hAnsi="Calibri" w:cs="Calibri"/>
          <w:i/>
        </w:rPr>
        <w:t> </w:t>
      </w:r>
      <w:r w:rsidR="00FC0480" w:rsidRPr="00FC0480">
        <w:rPr>
          <w:rFonts w:ascii="Favorit" w:hAnsi="Favorit"/>
          <w:i/>
        </w:rPr>
        <w:t>dětmi. A není důvod se domnívat, že by se to v</w:t>
      </w:r>
      <w:r w:rsidR="00FC0480" w:rsidRPr="00FC0480">
        <w:rPr>
          <w:rFonts w:ascii="Calibri" w:hAnsi="Calibri" w:cs="Calibri"/>
          <w:i/>
        </w:rPr>
        <w:t> </w:t>
      </w:r>
      <w:r w:rsidR="00FC0480" w:rsidRPr="00FC0480">
        <w:rPr>
          <w:rFonts w:ascii="Favorit" w:hAnsi="Favorit"/>
          <w:i/>
        </w:rPr>
        <w:t>následujících letech mělo měnit. Potřebujeme se tedy prioritně bavit o tom, jak udělat tuto formu bydlení stabilnější a jistější. Za nás vede cesta především skrz omezení řetězení nájemních smluv,“</w:t>
      </w:r>
      <w:r w:rsidR="00FC0480">
        <w:rPr>
          <w:rFonts w:ascii="Favorit" w:hAnsi="Favorit"/>
        </w:rPr>
        <w:t xml:space="preserve"> </w:t>
      </w:r>
      <w:r w:rsidR="00B86653">
        <w:rPr>
          <w:rFonts w:ascii="Favorit" w:hAnsi="Favorit"/>
        </w:rPr>
        <w:t xml:space="preserve"> </w:t>
      </w:r>
      <w:r w:rsidR="00FC0480">
        <w:rPr>
          <w:rFonts w:ascii="Favorit" w:hAnsi="Favorit"/>
        </w:rPr>
        <w:t>vysvětluje Opletal</w:t>
      </w:r>
      <w:r w:rsidR="00B86653">
        <w:rPr>
          <w:rFonts w:ascii="Favorit" w:hAnsi="Favorit"/>
        </w:rPr>
        <w:t>.</w:t>
      </w:r>
    </w:p>
    <w:p w14:paraId="431CA7C3" w14:textId="77777777" w:rsidR="00B86653" w:rsidRDefault="00FC0480">
      <w:pPr>
        <w:spacing w:before="240" w:after="240" w:line="360" w:lineRule="auto"/>
        <w:rPr>
          <w:rFonts w:ascii="Favorit" w:hAnsi="Favorit"/>
        </w:rPr>
      </w:pPr>
      <w:r w:rsidRPr="00FC0480">
        <w:rPr>
          <w:rFonts w:ascii="Favorit" w:hAnsi="Favorit"/>
          <w:i/>
        </w:rPr>
        <w:t>„</w:t>
      </w:r>
      <w:r>
        <w:rPr>
          <w:rFonts w:ascii="Favorit" w:hAnsi="Favorit"/>
          <w:i/>
        </w:rPr>
        <w:t>R</w:t>
      </w:r>
      <w:r w:rsidRPr="00FC0480">
        <w:rPr>
          <w:rFonts w:ascii="Favorit" w:hAnsi="Favorit"/>
          <w:i/>
        </w:rPr>
        <w:t>ealizujeme v</w:t>
      </w:r>
      <w:r w:rsidRPr="00FC0480">
        <w:rPr>
          <w:rFonts w:ascii="Calibri" w:hAnsi="Calibri" w:cs="Calibri"/>
          <w:i/>
        </w:rPr>
        <w:t> </w:t>
      </w:r>
      <w:r w:rsidRPr="00FC0480">
        <w:rPr>
          <w:rFonts w:ascii="Favorit" w:hAnsi="Favorit"/>
          <w:i/>
        </w:rPr>
        <w:t>tuto chvíli řadu výzkumných rozhovorů s</w:t>
      </w:r>
      <w:r w:rsidRPr="00FC0480">
        <w:rPr>
          <w:rFonts w:ascii="Calibri" w:hAnsi="Calibri" w:cs="Calibri"/>
          <w:i/>
        </w:rPr>
        <w:t> </w:t>
      </w:r>
      <w:r w:rsidRPr="00FC0480">
        <w:rPr>
          <w:rFonts w:ascii="Favorit" w:hAnsi="Favorit"/>
          <w:i/>
        </w:rPr>
        <w:t>lidmi zažívajícími vykořisťující praktiky na nájemním trhu. A jasným spojujícím prvkem je, že pokud nájemnictvo musí každých několik měsíců vyjednávat o svém setrvání v</w:t>
      </w:r>
      <w:r w:rsidRPr="00FC0480">
        <w:rPr>
          <w:rFonts w:ascii="Calibri" w:hAnsi="Calibri" w:cs="Calibri"/>
          <w:i/>
        </w:rPr>
        <w:t> </w:t>
      </w:r>
      <w:r w:rsidRPr="00FC0480">
        <w:rPr>
          <w:rFonts w:ascii="Favorit" w:hAnsi="Favorit"/>
          <w:i/>
        </w:rPr>
        <w:t xml:space="preserve">bytě a nemá kam jinam jít, tak je vlastně docela jedno, jak silná u nás jsou nájemnická práva. Protože se jich tito lidé stejně nedomáhají a nebudou domáhat,“ </w:t>
      </w:r>
      <w:r w:rsidRPr="00FC0480">
        <w:rPr>
          <w:rFonts w:ascii="Favorit" w:hAnsi="Favorit"/>
        </w:rPr>
        <w:t>doplňuje právník Platformy, Petr Baroch.</w:t>
      </w:r>
      <w:r>
        <w:rPr>
          <w:rFonts w:ascii="Favorit" w:hAnsi="Favorit"/>
          <w:b/>
        </w:rPr>
        <w:br/>
      </w:r>
      <w:r>
        <w:rPr>
          <w:rFonts w:ascii="Favorit" w:hAnsi="Favorit"/>
          <w:b/>
        </w:rPr>
        <w:br/>
      </w:r>
      <w:r w:rsidR="00B86653" w:rsidRPr="00B86653">
        <w:rPr>
          <w:rFonts w:ascii="Favorit" w:hAnsi="Favorit"/>
        </w:rPr>
        <w:t>Analýza přináší také zhodnocení vybraných sociálních politik schválených končící vládou, Zákon o podpoře bydlení a Revizi dávkového systému.</w:t>
      </w:r>
    </w:p>
    <w:p w14:paraId="030168E9" w14:textId="24EBD0FD" w:rsidR="00B86653" w:rsidRDefault="00B86653">
      <w:pPr>
        <w:spacing w:before="240" w:after="240" w:line="360" w:lineRule="auto"/>
        <w:rPr>
          <w:rFonts w:ascii="Favorit" w:hAnsi="Favorit"/>
          <w:b/>
        </w:rPr>
      </w:pPr>
      <w:r>
        <w:rPr>
          <w:rFonts w:ascii="Favorit" w:hAnsi="Favorit"/>
          <w:i/>
        </w:rPr>
        <w:t>„Zákon o podpoře bydlení považujeme za největší úspěch současné vlády v</w:t>
      </w:r>
      <w:r>
        <w:rPr>
          <w:rFonts w:ascii="Calibri" w:hAnsi="Calibri" w:cs="Calibri"/>
          <w:i/>
        </w:rPr>
        <w:t> </w:t>
      </w:r>
      <w:r>
        <w:rPr>
          <w:rFonts w:ascii="Favorit" w:hAnsi="Favorit"/>
          <w:i/>
        </w:rPr>
        <w:t>sociální oblasti. Prošel ale bohužel s</w:t>
      </w:r>
      <w:r>
        <w:rPr>
          <w:rFonts w:ascii="Calibri" w:hAnsi="Calibri" w:cs="Calibri"/>
          <w:i/>
        </w:rPr>
        <w:t> </w:t>
      </w:r>
      <w:r>
        <w:rPr>
          <w:rFonts w:ascii="Favorit" w:hAnsi="Favorit"/>
          <w:i/>
        </w:rPr>
        <w:t>chybami, které bude třeba opravit, pokud má být řešením opravdu pro všechny lidi v</w:t>
      </w:r>
      <w:r>
        <w:rPr>
          <w:rFonts w:ascii="Calibri" w:hAnsi="Calibri" w:cs="Calibri"/>
          <w:i/>
        </w:rPr>
        <w:t> </w:t>
      </w:r>
      <w:r>
        <w:rPr>
          <w:rFonts w:ascii="Favorit" w:hAnsi="Favorit"/>
          <w:i/>
        </w:rPr>
        <w:t>bytové nouzi. Příliš přísný příjmový test, který sněmovna přidala mezi druhým a třetím čtením vyřazuje domácnosti, které jsou v</w:t>
      </w:r>
      <w:r>
        <w:rPr>
          <w:rFonts w:ascii="Calibri" w:hAnsi="Calibri" w:cs="Calibri"/>
          <w:i/>
        </w:rPr>
        <w:t> </w:t>
      </w:r>
      <w:r>
        <w:rPr>
          <w:rFonts w:ascii="Favorit" w:hAnsi="Favorit"/>
          <w:i/>
        </w:rPr>
        <w:t>bytové nouzi, ale nejsou v</w:t>
      </w:r>
      <w:r>
        <w:rPr>
          <w:rFonts w:ascii="Calibri" w:hAnsi="Calibri" w:cs="Calibri"/>
          <w:i/>
        </w:rPr>
        <w:t> </w:t>
      </w:r>
      <w:r>
        <w:rPr>
          <w:rFonts w:ascii="Favorit" w:hAnsi="Favorit"/>
          <w:i/>
        </w:rPr>
        <w:t>hmotné nouzi. Typicky jde o všechny oběti diskriminace na trhu s</w:t>
      </w:r>
      <w:r>
        <w:rPr>
          <w:rFonts w:ascii="Calibri" w:hAnsi="Calibri" w:cs="Calibri"/>
          <w:i/>
        </w:rPr>
        <w:t> </w:t>
      </w:r>
      <w:r>
        <w:rPr>
          <w:rFonts w:ascii="Favorit" w:hAnsi="Favorit"/>
          <w:i/>
        </w:rPr>
        <w:t xml:space="preserve">bydlením, ale i například o seniorské domácnosti,“ </w:t>
      </w:r>
      <w:r w:rsidRPr="00B86653">
        <w:rPr>
          <w:rFonts w:ascii="Favorit" w:hAnsi="Favorit"/>
        </w:rPr>
        <w:t>říká Katarína Šrámková, koordinátorka advokačních aktivit</w:t>
      </w:r>
      <w:r w:rsidR="00BB6933">
        <w:rPr>
          <w:rFonts w:ascii="Favorit" w:hAnsi="Favorit"/>
        </w:rPr>
        <w:t xml:space="preserve"> Platformy pro sociální bydlení</w:t>
      </w:r>
      <w:r w:rsidRPr="00B86653">
        <w:rPr>
          <w:rFonts w:ascii="Favorit" w:hAnsi="Favorit"/>
        </w:rPr>
        <w:t>.</w:t>
      </w:r>
    </w:p>
    <w:p w14:paraId="73587273" w14:textId="354B9B87" w:rsidR="003C70E4" w:rsidRDefault="00B86653">
      <w:pPr>
        <w:spacing w:before="240" w:after="240" w:line="360" w:lineRule="auto"/>
        <w:rPr>
          <w:rFonts w:ascii="Favorit" w:hAnsi="Favorit"/>
          <w:b/>
        </w:rPr>
      </w:pPr>
      <w:r w:rsidRPr="00B86653">
        <w:rPr>
          <w:rFonts w:ascii="Favorit" w:hAnsi="Favorit"/>
          <w:i/>
        </w:rPr>
        <w:t>„Naopak revize dávek se změnila dle našeho hodnocení příliš málo na to, aby ji bylo možné vnímat pozitivně. Kvůli příliš nízkým uznatelným nákladům na bydlení budou domácnosti v</w:t>
      </w:r>
      <w:r w:rsidRPr="00B86653">
        <w:rPr>
          <w:rFonts w:ascii="Calibri" w:hAnsi="Calibri" w:cs="Calibri"/>
          <w:i/>
        </w:rPr>
        <w:t> </w:t>
      </w:r>
      <w:r w:rsidRPr="00B86653">
        <w:rPr>
          <w:rFonts w:ascii="Favorit" w:hAnsi="Favorit"/>
          <w:i/>
        </w:rPr>
        <w:t>komerčních nájmech a domácnosti ohrožené energetickou chudobou přicházet o tisíce korun. Připomenu, že státní</w:t>
      </w:r>
      <w:r w:rsidR="003C70E4">
        <w:rPr>
          <w:rFonts w:ascii="Favorit" w:hAnsi="Favorit"/>
          <w:i/>
        </w:rPr>
        <w:t xml:space="preserve"> sociální</w:t>
      </w:r>
      <w:r w:rsidRPr="00B86653">
        <w:rPr>
          <w:rFonts w:ascii="Favorit" w:hAnsi="Favorit"/>
          <w:i/>
        </w:rPr>
        <w:t xml:space="preserve"> podporu nyní čerpá</w:t>
      </w:r>
      <w:r w:rsidR="003C70E4">
        <w:rPr>
          <w:rFonts w:ascii="Favorit" w:hAnsi="Favorit"/>
          <w:i/>
        </w:rPr>
        <w:t xml:space="preserve"> okolo</w:t>
      </w:r>
      <w:r w:rsidRPr="00B86653">
        <w:rPr>
          <w:rFonts w:ascii="Favorit" w:hAnsi="Favorit"/>
          <w:i/>
        </w:rPr>
        <w:t xml:space="preserve"> 300</w:t>
      </w:r>
      <w:r w:rsidR="00BB6933">
        <w:rPr>
          <w:rFonts w:ascii="Calibri" w:hAnsi="Calibri" w:cs="Calibri"/>
          <w:i/>
        </w:rPr>
        <w:t> </w:t>
      </w:r>
      <w:r w:rsidRPr="00B86653">
        <w:rPr>
          <w:rFonts w:ascii="Favorit" w:hAnsi="Favorit"/>
          <w:i/>
        </w:rPr>
        <w:t xml:space="preserve">000 domácností, dávno nejde o dílčí téma související se sociálním vyloučením,“ </w:t>
      </w:r>
      <w:r w:rsidRPr="00B86653">
        <w:rPr>
          <w:rFonts w:ascii="Favorit" w:hAnsi="Favorit"/>
        </w:rPr>
        <w:t>dodává Šrámková.</w:t>
      </w:r>
      <w:r w:rsidR="00FC0480">
        <w:rPr>
          <w:rFonts w:ascii="Favorit" w:hAnsi="Favorit"/>
          <w:b/>
        </w:rPr>
        <w:br/>
      </w:r>
    </w:p>
    <w:p w14:paraId="5DB7C260" w14:textId="77777777" w:rsidR="003C70E4" w:rsidRDefault="003C70E4">
      <w:pPr>
        <w:spacing w:before="240" w:after="240" w:line="360" w:lineRule="auto"/>
        <w:rPr>
          <w:rFonts w:ascii="Favorit" w:hAnsi="Favorit"/>
          <w:b/>
        </w:rPr>
      </w:pPr>
    </w:p>
    <w:p w14:paraId="00000005" w14:textId="232BADD0" w:rsidR="00081429" w:rsidRPr="00192599" w:rsidRDefault="00FC0480">
      <w:pPr>
        <w:spacing w:before="240" w:after="240" w:line="360" w:lineRule="auto"/>
        <w:rPr>
          <w:rFonts w:ascii="Favorit" w:hAnsi="Favorit"/>
          <w:b/>
        </w:rPr>
      </w:pPr>
      <w:r>
        <w:rPr>
          <w:rFonts w:ascii="Favorit" w:hAnsi="Favorit"/>
          <w:b/>
        </w:rPr>
        <w:lastRenderedPageBreak/>
        <w:br/>
      </w:r>
      <w:r w:rsidR="0094330F" w:rsidRPr="00192599">
        <w:rPr>
          <w:rFonts w:ascii="Favorit" w:hAnsi="Favorit"/>
          <w:b/>
        </w:rPr>
        <w:t>Co v programech stran chybí nejvíce?</w:t>
      </w:r>
    </w:p>
    <w:p w14:paraId="00000006" w14:textId="77777777" w:rsidR="00081429" w:rsidRPr="00192599" w:rsidRDefault="0094330F">
      <w:pPr>
        <w:numPr>
          <w:ilvl w:val="0"/>
          <w:numId w:val="1"/>
        </w:numPr>
        <w:spacing w:before="240" w:line="360" w:lineRule="auto"/>
        <w:rPr>
          <w:rFonts w:ascii="Favorit" w:hAnsi="Favorit"/>
        </w:rPr>
      </w:pPr>
      <w:r w:rsidRPr="00192599">
        <w:rPr>
          <w:rFonts w:ascii="Favorit" w:hAnsi="Favorit"/>
          <w:b/>
        </w:rPr>
        <w:t>Posílení Zákona o podpoře bydlení</w:t>
      </w:r>
      <w:r w:rsidRPr="00192599">
        <w:rPr>
          <w:rFonts w:ascii="Favorit" w:hAnsi="Favorit"/>
        </w:rPr>
        <w:t xml:space="preserve"> – přestože se podařilo jeho prosazení, změny přijaté mezi 2. a 3. čtením ohrožují účinnost zákona a vyřazují řadu zranitelných domácností, včetně některých seniorů a seniorek, samoživitelek či lidí se zdravotním postižením.</w:t>
      </w:r>
    </w:p>
    <w:p w14:paraId="00000007" w14:textId="56427EFD" w:rsidR="00081429" w:rsidRPr="00192599" w:rsidRDefault="0094330F">
      <w:pPr>
        <w:numPr>
          <w:ilvl w:val="0"/>
          <w:numId w:val="1"/>
        </w:numPr>
        <w:spacing w:line="360" w:lineRule="auto"/>
        <w:rPr>
          <w:rFonts w:ascii="Favorit" w:hAnsi="Favorit"/>
        </w:rPr>
      </w:pPr>
      <w:r w:rsidRPr="00192599">
        <w:rPr>
          <w:rFonts w:ascii="Favorit" w:hAnsi="Favorit"/>
          <w:b/>
        </w:rPr>
        <w:t>Revize reformy dávkového systému</w:t>
      </w:r>
      <w:r w:rsidRPr="00192599">
        <w:rPr>
          <w:rFonts w:ascii="Favorit" w:hAnsi="Favorit"/>
        </w:rPr>
        <w:t xml:space="preserve"> – současná podoba reformy bude mít negativní dopady až pro </w:t>
      </w:r>
      <w:r w:rsidR="00082C2E">
        <w:rPr>
          <w:rFonts w:ascii="Favorit" w:hAnsi="Favorit"/>
        </w:rPr>
        <w:t xml:space="preserve">desítky tisíc domácností, jejichž příjmová chudoba se skokově prohloubí o tisíce korun měsíčně. </w:t>
      </w:r>
    </w:p>
    <w:p w14:paraId="00000008" w14:textId="6829802F" w:rsidR="00081429" w:rsidRPr="00192599" w:rsidRDefault="003C70E4">
      <w:pPr>
        <w:numPr>
          <w:ilvl w:val="0"/>
          <w:numId w:val="1"/>
        </w:numPr>
        <w:spacing w:line="360" w:lineRule="auto"/>
        <w:rPr>
          <w:rFonts w:ascii="Favorit" w:hAnsi="Favorit"/>
        </w:rPr>
      </w:pPr>
      <w:r>
        <w:rPr>
          <w:rFonts w:ascii="Favorit" w:hAnsi="Favorit"/>
          <w:b/>
        </w:rPr>
        <w:t>Lepší zacílení</w:t>
      </w:r>
      <w:r w:rsidR="0094330F" w:rsidRPr="00192599">
        <w:rPr>
          <w:rFonts w:ascii="Favorit" w:hAnsi="Favorit"/>
          <w:b/>
        </w:rPr>
        <w:t xml:space="preserve"> podpory hypoték</w:t>
      </w:r>
      <w:r w:rsidR="0094330F" w:rsidRPr="00192599">
        <w:rPr>
          <w:rFonts w:ascii="Favorit" w:hAnsi="Favorit"/>
        </w:rPr>
        <w:t xml:space="preserve"> – sliby další státní plošné podpory hypoték jsou neefektivní a zvýhodňují ty, kdo pomoc nepotřebují, zatímco 1,6 milionu lidí má závažné problémy s bydlením.</w:t>
      </w:r>
    </w:p>
    <w:p w14:paraId="00000009" w14:textId="6DC94048" w:rsidR="00081429" w:rsidRPr="00192599" w:rsidRDefault="0094330F">
      <w:pPr>
        <w:numPr>
          <w:ilvl w:val="0"/>
          <w:numId w:val="1"/>
        </w:numPr>
        <w:spacing w:line="360" w:lineRule="auto"/>
        <w:rPr>
          <w:rFonts w:ascii="Favorit" w:hAnsi="Favorit"/>
        </w:rPr>
      </w:pPr>
      <w:r w:rsidRPr="00192599">
        <w:rPr>
          <w:rFonts w:ascii="Favorit" w:hAnsi="Favorit"/>
          <w:b/>
        </w:rPr>
        <w:t>Stabilizace nájemního bydlení</w:t>
      </w:r>
      <w:r w:rsidRPr="00192599">
        <w:rPr>
          <w:rFonts w:ascii="Favorit" w:hAnsi="Favorit"/>
        </w:rPr>
        <w:t xml:space="preserve"> – nájemní bydlení je realitou pro většinu mladých lidí ve městech, ale chybí systémová opatření, která by z nájmu učinila stabilní a</w:t>
      </w:r>
      <w:r w:rsidR="00BB6933">
        <w:rPr>
          <w:rFonts w:ascii="Calibri" w:hAnsi="Calibri" w:cs="Calibri"/>
        </w:rPr>
        <w:t> </w:t>
      </w:r>
      <w:r w:rsidRPr="00192599">
        <w:rPr>
          <w:rFonts w:ascii="Favorit" w:hAnsi="Favorit"/>
        </w:rPr>
        <w:t>dostupnou alternativu vlastnického bydlení.</w:t>
      </w:r>
    </w:p>
    <w:p w14:paraId="0000000A" w14:textId="1B2779AC" w:rsidR="00081429" w:rsidRDefault="0094330F">
      <w:pPr>
        <w:numPr>
          <w:ilvl w:val="0"/>
          <w:numId w:val="1"/>
        </w:numPr>
        <w:spacing w:after="240" w:line="360" w:lineRule="auto"/>
        <w:rPr>
          <w:rFonts w:ascii="Favorit" w:hAnsi="Favorit"/>
        </w:rPr>
      </w:pPr>
      <w:r w:rsidRPr="00192599">
        <w:rPr>
          <w:rFonts w:ascii="Favorit" w:hAnsi="Favorit"/>
          <w:b/>
        </w:rPr>
        <w:t>Výstavba dostupného nájemního bydlení</w:t>
      </w:r>
      <w:r w:rsidRPr="00192599">
        <w:rPr>
          <w:rFonts w:ascii="Favorit" w:hAnsi="Favorit"/>
        </w:rPr>
        <w:t xml:space="preserve"> – poptávka po obecních a dostupných bytech několikanásobně převyšuje nabídku. Střední třída se bez masivní výstavby dostupného nájemního bydlení neobejde. Není udržitelné, že lidé pracující v středně a nízkopříjmových profesích nezbytných pro chod města, ve kterém žijí, nemohou v tomto městě žít.</w:t>
      </w:r>
    </w:p>
    <w:p w14:paraId="0000000D" w14:textId="01D8F5DB" w:rsidR="00081429" w:rsidRPr="00192599" w:rsidRDefault="0094330F">
      <w:pPr>
        <w:spacing w:before="240" w:after="240" w:line="360" w:lineRule="auto"/>
        <w:rPr>
          <w:rFonts w:ascii="Favorit" w:hAnsi="Favorit"/>
        </w:rPr>
      </w:pPr>
      <w:r w:rsidRPr="00192599">
        <w:rPr>
          <w:rFonts w:ascii="Favorit" w:hAnsi="Favorit"/>
        </w:rPr>
        <w:t>Platforma pro sociální bydlení apeluje na politické strany, aby se místo krátkodobých a</w:t>
      </w:r>
      <w:r w:rsidR="00BB6933">
        <w:rPr>
          <w:rFonts w:ascii="Calibri" w:hAnsi="Calibri" w:cs="Calibri"/>
        </w:rPr>
        <w:t> </w:t>
      </w:r>
      <w:r w:rsidRPr="00192599">
        <w:rPr>
          <w:rFonts w:ascii="Favorit" w:hAnsi="Favorit"/>
        </w:rPr>
        <w:t>neefektivních opatření zaměřily na systémové řešení bytové krize: důstojné a</w:t>
      </w:r>
      <w:r w:rsidR="00BB6933">
        <w:rPr>
          <w:rFonts w:ascii="Calibri" w:hAnsi="Calibri" w:cs="Calibri"/>
        </w:rPr>
        <w:t> </w:t>
      </w:r>
      <w:bookmarkStart w:id="0" w:name="_GoBack"/>
      <w:bookmarkEnd w:id="0"/>
      <w:r w:rsidRPr="00192599">
        <w:rPr>
          <w:rFonts w:ascii="Favorit" w:hAnsi="Favorit"/>
        </w:rPr>
        <w:t>dostupné nájemní bydlení, funkční dávkový systém</w:t>
      </w:r>
      <w:r w:rsidR="003C70E4">
        <w:rPr>
          <w:rFonts w:ascii="Favorit" w:hAnsi="Favorit"/>
        </w:rPr>
        <w:t>,</w:t>
      </w:r>
      <w:r w:rsidRPr="00192599">
        <w:rPr>
          <w:rFonts w:ascii="Favorit" w:hAnsi="Favorit"/>
        </w:rPr>
        <w:t xml:space="preserve"> účinnou ochranu domácností před ztrátou bydlení</w:t>
      </w:r>
      <w:r w:rsidR="003C70E4">
        <w:rPr>
          <w:rFonts w:ascii="Favorit" w:hAnsi="Favorit"/>
        </w:rPr>
        <w:t xml:space="preserve"> a narovnání parametrů Zákona o podpoře bydlení, který podporuje ty nejzranitelnější domácnosti.</w:t>
      </w:r>
      <w:r w:rsidRPr="00192599">
        <w:rPr>
          <w:rFonts w:ascii="Favorit" w:hAnsi="Favorit"/>
        </w:rPr>
        <w:t>.</w:t>
      </w:r>
    </w:p>
    <w:p w14:paraId="0000000E" w14:textId="77777777" w:rsidR="00081429" w:rsidRPr="00192599" w:rsidRDefault="0094330F">
      <w:pPr>
        <w:shd w:val="clear" w:color="auto" w:fill="FFFFFF"/>
        <w:spacing w:line="244" w:lineRule="auto"/>
        <w:rPr>
          <w:rFonts w:ascii="Favorit" w:hAnsi="Favorit"/>
          <w:b/>
        </w:rPr>
      </w:pPr>
      <w:r w:rsidRPr="00192599">
        <w:rPr>
          <w:rFonts w:ascii="Favorit" w:hAnsi="Favorit"/>
          <w:b/>
        </w:rPr>
        <w:t>Kontaktní osoba za Platformu pro sociální bydlení:</w:t>
      </w:r>
    </w:p>
    <w:p w14:paraId="0000000F" w14:textId="77777777" w:rsidR="00081429" w:rsidRPr="00192599" w:rsidRDefault="0094330F">
      <w:pPr>
        <w:shd w:val="clear" w:color="auto" w:fill="FFFFFF"/>
        <w:spacing w:line="360" w:lineRule="auto"/>
        <w:jc w:val="both"/>
        <w:rPr>
          <w:rFonts w:ascii="Favorit" w:hAnsi="Favorit"/>
          <w:b/>
        </w:rPr>
      </w:pPr>
      <w:r w:rsidRPr="00192599">
        <w:rPr>
          <w:rFonts w:ascii="Favorit" w:hAnsi="Favorit"/>
          <w:b/>
        </w:rPr>
        <w:t>Mikoláš Opletal, Advocacy Officer</w:t>
      </w:r>
    </w:p>
    <w:p w14:paraId="00000010" w14:textId="77777777" w:rsidR="00081429" w:rsidRPr="00192599" w:rsidRDefault="0094330F">
      <w:pPr>
        <w:shd w:val="clear" w:color="auto" w:fill="FFFFFF"/>
        <w:spacing w:line="360" w:lineRule="auto"/>
        <w:jc w:val="both"/>
        <w:rPr>
          <w:rFonts w:ascii="Favorit" w:hAnsi="Favorit"/>
          <w:b/>
          <w:color w:val="0000FF"/>
        </w:rPr>
      </w:pPr>
      <w:r w:rsidRPr="00192599">
        <w:rPr>
          <w:rFonts w:ascii="Favorit" w:hAnsi="Favorit"/>
          <w:b/>
          <w:color w:val="0000FF"/>
        </w:rPr>
        <w:t>mikolas.opletal@socialnibydleni.org</w:t>
      </w:r>
    </w:p>
    <w:p w14:paraId="00000011" w14:textId="77777777" w:rsidR="00081429" w:rsidRPr="00192599" w:rsidRDefault="0094330F">
      <w:pPr>
        <w:shd w:val="clear" w:color="auto" w:fill="FFFFFF"/>
        <w:spacing w:line="360" w:lineRule="auto"/>
        <w:jc w:val="both"/>
        <w:rPr>
          <w:rFonts w:ascii="Favorit" w:hAnsi="Favorit"/>
          <w:b/>
        </w:rPr>
      </w:pPr>
      <w:r w:rsidRPr="00192599">
        <w:rPr>
          <w:rFonts w:ascii="Favorit" w:hAnsi="Favorit"/>
          <w:b/>
        </w:rPr>
        <w:t>+420 774 645 467</w:t>
      </w:r>
    </w:p>
    <w:p w14:paraId="00000013" w14:textId="77777777" w:rsidR="00081429" w:rsidRDefault="00081429">
      <w:pPr>
        <w:spacing w:line="360" w:lineRule="auto"/>
        <w:rPr>
          <w:b/>
          <w:sz w:val="32"/>
          <w:szCs w:val="32"/>
        </w:rPr>
      </w:pPr>
    </w:p>
    <w:sectPr w:rsidR="00081429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625A6" w14:textId="77777777" w:rsidR="00092796" w:rsidRDefault="00092796">
      <w:pPr>
        <w:spacing w:line="240" w:lineRule="auto"/>
      </w:pPr>
      <w:r>
        <w:separator/>
      </w:r>
    </w:p>
  </w:endnote>
  <w:endnote w:type="continuationSeparator" w:id="0">
    <w:p w14:paraId="107C9059" w14:textId="77777777" w:rsidR="00092796" w:rsidRDefault="00092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vorit">
    <w:panose1 w:val="02010303030201080203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58F82" w14:textId="77777777" w:rsidR="00092796" w:rsidRDefault="00092796">
      <w:pPr>
        <w:spacing w:line="240" w:lineRule="auto"/>
      </w:pPr>
      <w:r>
        <w:separator/>
      </w:r>
    </w:p>
  </w:footnote>
  <w:footnote w:type="continuationSeparator" w:id="0">
    <w:p w14:paraId="73A9CB55" w14:textId="77777777" w:rsidR="00092796" w:rsidRDefault="000927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4" w14:textId="3AD96ED1" w:rsidR="00081429" w:rsidRDefault="00192599">
    <w:r>
      <w:rPr>
        <w:noProof/>
      </w:rPr>
      <w:drawing>
        <wp:inline distT="0" distB="0" distL="0" distR="0" wp14:anchorId="13F7BEBE" wp14:editId="225D4B27">
          <wp:extent cx="1874520" cy="6324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452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7D2716" w14:textId="77777777" w:rsidR="00192599" w:rsidRDefault="001925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806D1"/>
    <w:multiLevelType w:val="multilevel"/>
    <w:tmpl w:val="4B348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29"/>
    <w:rsid w:val="00065F80"/>
    <w:rsid w:val="00081429"/>
    <w:rsid w:val="00082C2E"/>
    <w:rsid w:val="00092796"/>
    <w:rsid w:val="00192599"/>
    <w:rsid w:val="003C70E4"/>
    <w:rsid w:val="0094330F"/>
    <w:rsid w:val="00B17233"/>
    <w:rsid w:val="00B86653"/>
    <w:rsid w:val="00BB6933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CD4A"/>
  <w15:docId w15:val="{FA7F7B87-55AA-4252-8B1A-18183F6D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19259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599"/>
  </w:style>
  <w:style w:type="paragraph" w:styleId="Zpat">
    <w:name w:val="footer"/>
    <w:basedOn w:val="Normln"/>
    <w:link w:val="ZpatChar"/>
    <w:uiPriority w:val="99"/>
    <w:unhideWhenUsed/>
    <w:rsid w:val="0019259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801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Platforma pro sociální bydlení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Schovánek</dc:creator>
  <cp:lastModifiedBy>Petr Schovánek</cp:lastModifiedBy>
  <cp:revision>4</cp:revision>
  <dcterms:created xsi:type="dcterms:W3CDTF">2025-09-22T15:20:00Z</dcterms:created>
  <dcterms:modified xsi:type="dcterms:W3CDTF">2025-09-23T07:48:00Z</dcterms:modified>
</cp:coreProperties>
</file>